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E5" w:rsidRPr="003E68C1" w:rsidRDefault="00572874" w:rsidP="009419AD">
      <w:pPr>
        <w:pStyle w:val="BodyText"/>
        <w:spacing w:before="120" w:after="120"/>
        <w:jc w:val="both"/>
        <w:rPr>
          <w:b/>
          <w:sz w:val="28"/>
          <w:szCs w:val="28"/>
        </w:rPr>
      </w:pPr>
      <w:r w:rsidRPr="003E68C1">
        <w:rPr>
          <w:b/>
          <w:sz w:val="28"/>
          <w:szCs w:val="28"/>
        </w:rPr>
        <w:t>Scope, responsibilities and assurance</w:t>
      </w:r>
      <w:bookmarkStart w:id="0" w:name="_GoBack"/>
      <w:bookmarkEnd w:id="0"/>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Approach</w:t>
      </w:r>
    </w:p>
    <w:p w:rsidR="009137E5" w:rsidRPr="00CB45E5" w:rsidRDefault="00E94919" w:rsidP="00A704DF">
      <w:pPr>
        <w:pStyle w:val="BodyText"/>
        <w:spacing w:before="120" w:after="120"/>
        <w:ind w:left="709" w:hanging="709"/>
        <w:jc w:val="both"/>
      </w:pPr>
      <w:r>
        <w:t>D</w:t>
      </w:r>
      <w:r w:rsidR="00572874">
        <w:t>.1</w:t>
      </w:r>
      <w:r w:rsidR="00572874">
        <w:tab/>
        <w:t>The Internal Audit Service operates in accordance with Public Sector Internal Audit Standards</w:t>
      </w:r>
      <w:r w:rsidR="00572874" w:rsidRPr="00CB45E5">
        <w:t xml:space="preserve">, 2017. The scope of internal audit work encompasses all of the council’s operations, resources and services including where they are provided by other organisations on </w:t>
      </w:r>
      <w:r w:rsidR="00572874">
        <w:t>its</w:t>
      </w:r>
      <w:r w:rsidR="00572874" w:rsidRPr="00CB45E5">
        <w:t xml:space="preserve"> behalf.</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Responsibilities of management and internal auditors</w:t>
      </w:r>
    </w:p>
    <w:p w:rsidR="009137E5" w:rsidRDefault="00E94919" w:rsidP="00A704DF">
      <w:pPr>
        <w:pStyle w:val="BodyText"/>
        <w:spacing w:before="120" w:after="120"/>
        <w:ind w:left="709" w:hanging="709"/>
        <w:jc w:val="both"/>
      </w:pPr>
      <w:r>
        <w:t>D</w:t>
      </w:r>
      <w:r w:rsidR="00572874">
        <w:t>.2</w:t>
      </w:r>
      <w:r w:rsidR="00572874">
        <w:tab/>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9137E5" w:rsidRDefault="00E94919" w:rsidP="00A704DF">
      <w:pPr>
        <w:pStyle w:val="BodyText"/>
        <w:spacing w:before="120" w:after="120"/>
        <w:ind w:left="709" w:hanging="709"/>
        <w:jc w:val="both"/>
      </w:pPr>
      <w:r>
        <w:t>D</w:t>
      </w:r>
      <w:r w:rsidR="00572874">
        <w:t>.3</w:t>
      </w:r>
      <w:r w:rsidR="00572874">
        <w:tab/>
        <w:t>However, we have planned our work so that we have a reasonable expectation of detecting significant control weaknesses. We have reported all such weaknesses to management as they have become known to us, without undue delay, and have worked with management to develop proposals for remedial action.</w:t>
      </w:r>
    </w:p>
    <w:p w:rsidR="009137E5" w:rsidRDefault="00E94919" w:rsidP="00A704DF">
      <w:pPr>
        <w:pStyle w:val="BodyText"/>
        <w:spacing w:before="120" w:after="120"/>
        <w:ind w:left="709" w:hanging="709"/>
        <w:jc w:val="both"/>
      </w:pPr>
      <w:r>
        <w:t>D</w:t>
      </w:r>
      <w:r w:rsidR="00572874">
        <w:t>.4</w:t>
      </w:r>
      <w:r w:rsidR="00572874">
        <w:tab/>
        <w:t xml:space="preserve">Internal audit procedures alone do not guarantee that fraud will be detected. Accordingly, our examinations as internal auditors should not be relied upon </w:t>
      </w:r>
      <w:proofErr w:type="gramStart"/>
      <w:r w:rsidR="00572874">
        <w:t>solely</w:t>
      </w:r>
      <w:proofErr w:type="gramEnd"/>
      <w:r w:rsidR="00572874">
        <w:t xml:space="preserve"> to disclose fraud or other irregularities which may exist, unless we are requested to carry out a special investigation for such activities in a particular area.</w:t>
      </w:r>
    </w:p>
    <w:p w:rsidR="009137E5" w:rsidRDefault="00E94919" w:rsidP="00A704DF">
      <w:pPr>
        <w:pStyle w:val="BodyText"/>
        <w:spacing w:before="120" w:after="120"/>
        <w:ind w:left="709" w:hanging="709"/>
        <w:jc w:val="both"/>
      </w:pPr>
      <w:r>
        <w:t>D</w:t>
      </w:r>
      <w:r w:rsidR="00572874">
        <w:t>.5</w:t>
      </w:r>
      <w:r w:rsidR="00572874">
        <w:tab/>
        <w:t>Internal audit’s role includes assessing the adequacy of the risk management processes, key internal control systems and corporate governance arrangements put in place by management and performing testing to ensure those controls were operating effectively for the period under review.</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Basis of our assessment</w:t>
      </w:r>
    </w:p>
    <w:p w:rsidR="009137E5" w:rsidRDefault="00E94919" w:rsidP="00A704DF">
      <w:pPr>
        <w:pStyle w:val="BodyText"/>
        <w:spacing w:before="120" w:after="120"/>
        <w:ind w:left="709" w:hanging="709"/>
        <w:jc w:val="both"/>
      </w:pPr>
      <w:r>
        <w:t>D</w:t>
      </w:r>
      <w:r w:rsidR="00572874">
        <w:t>.6</w:t>
      </w:r>
      <w:r w:rsidR="00572874">
        <w:tab/>
        <w:t xml:space="preserve">My opinion on the adequacy of control arrangements is based upon the result of internal audit work undertaken and completed during the period in accordance with the plan approved by the Audit, Risk and Governance Committee. Sufficient, reliable and relevant </w:t>
      </w:r>
      <w:r w:rsidR="00572874" w:rsidRPr="00F92FDE">
        <w:t xml:space="preserve">evidence </w:t>
      </w:r>
      <w:r w:rsidR="00572874">
        <w:t>has been obtained</w:t>
      </w:r>
      <w:r w:rsidR="00572874" w:rsidRPr="00F92FDE">
        <w:t xml:space="preserve"> to support the recommendations </w:t>
      </w:r>
      <w:r w:rsidR="00572874">
        <w:t>made.</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Limitations to the scope of our work</w:t>
      </w:r>
    </w:p>
    <w:p w:rsidR="009137E5" w:rsidRPr="009E5D51" w:rsidRDefault="00E94919" w:rsidP="00A704DF">
      <w:pPr>
        <w:pStyle w:val="BodyText"/>
        <w:spacing w:before="120" w:after="120"/>
        <w:ind w:left="709" w:hanging="709"/>
        <w:jc w:val="both"/>
      </w:pPr>
      <w:r>
        <w:t>D</w:t>
      </w:r>
      <w:r w:rsidR="00572874">
        <w:t>.7</w:t>
      </w:r>
      <w:r w:rsidR="00572874">
        <w:tab/>
      </w:r>
      <w:r w:rsidR="00ED5633">
        <w:t>T</w:t>
      </w:r>
      <w:r w:rsidR="00572874">
        <w:t>here have been no limitations to the scope of the audit work</w:t>
      </w:r>
      <w:r w:rsidR="00ED5633">
        <w:t xml:space="preserve"> during the year, but work during March 2020 </w:t>
      </w:r>
      <w:r w:rsidR="00E11350">
        <w:t xml:space="preserve">and beyond </w:t>
      </w:r>
      <w:r w:rsidR="00ED5633">
        <w:t>has been limited by the impact on the council's managers, and senior managers i</w:t>
      </w:r>
      <w:r w:rsidR="00E11350">
        <w:t>n particular, of the C</w:t>
      </w:r>
      <w:r w:rsidR="00ED5633">
        <w:t xml:space="preserve">ovid-19 pandemic. The internal auditors have completed all the work begun as far as possible using the evidence available to them, but have not pursued further evidence and have not discussed any matters arising for the work with the audits' sponsors. Audits affected by this </w:t>
      </w:r>
      <w:r w:rsidR="00ED5633" w:rsidRPr="009E5D51">
        <w:t>restriction are indicated in Annexes A and B.</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Limitations on the assurance that internal audit can provide</w:t>
      </w:r>
    </w:p>
    <w:p w:rsidR="009137E5" w:rsidRPr="00751710" w:rsidRDefault="00E94919" w:rsidP="00A704DF">
      <w:pPr>
        <w:pStyle w:val="BodyText"/>
        <w:spacing w:before="120" w:after="120"/>
        <w:ind w:left="709" w:hanging="709"/>
        <w:jc w:val="both"/>
      </w:pPr>
      <w:r>
        <w:t>D</w:t>
      </w:r>
      <w:r w:rsidR="00572874">
        <w:t>.8</w:t>
      </w:r>
      <w:r w:rsidR="00572874">
        <w:tab/>
      </w:r>
      <w:r w:rsidR="00572874" w:rsidRPr="00751710">
        <w:t xml:space="preserve">There are inherent limitations as to what can be achieved by internal control and consequently limitations to the conclusions that can be drawn from </w:t>
      </w:r>
      <w:r w:rsidR="00572874">
        <w:t xml:space="preserve">our work as </w:t>
      </w:r>
      <w:r w:rsidR="00572874">
        <w:lastRenderedPageBreak/>
        <w:t>internal auditors</w:t>
      </w:r>
      <w:r w:rsidR="00572874" w:rsidRPr="00751710">
        <w:t>. These limitations include the possibility of faulty judgement in decision making, of breakdowns because of human error, of control activities being circumvented by the collusion of two or more people and of m</w:t>
      </w:r>
      <w:r w:rsidR="00572874">
        <w:t>anagement overriding controls. Further,</w:t>
      </w:r>
      <w:r w:rsidR="00572874" w:rsidRPr="00751710">
        <w:t xml:space="preserve"> there is no certainty that internal controls will </w:t>
      </w:r>
      <w:r w:rsidR="00572874">
        <w:t>c</w:t>
      </w:r>
      <w:r w:rsidR="00572874" w:rsidRPr="00751710">
        <w:t>ontinue to operate effectively in future periods or that the controls will be adequate to mitigate all significant ri</w:t>
      </w:r>
      <w:r w:rsidR="00572874">
        <w:t>sks which may arise in future.</w:t>
      </w:r>
    </w:p>
    <w:p w:rsidR="009137E5" w:rsidRPr="00751710" w:rsidRDefault="00E94919" w:rsidP="00A704DF">
      <w:pPr>
        <w:pStyle w:val="BodyText"/>
        <w:spacing w:before="120" w:after="120"/>
        <w:ind w:left="709" w:hanging="709"/>
        <w:jc w:val="both"/>
      </w:pPr>
      <w:r>
        <w:t>D</w:t>
      </w:r>
      <w:r w:rsidR="00572874">
        <w:t>.9</w:t>
      </w:r>
      <w:r w:rsidR="00572874">
        <w:tab/>
        <w:t>D</w:t>
      </w:r>
      <w:r w:rsidR="00572874" w:rsidRPr="00751710">
        <w:t>ecisions made in designing internal controls inevitably involve the acceptance of some degree of risk. As the outcome of the operation of internal controls cannot be predicted with absolute assurance any assessment of internal control is judgmental.</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Access to this report and responsibility to third parties</w:t>
      </w:r>
    </w:p>
    <w:p w:rsidR="009137E5" w:rsidRPr="00751710" w:rsidRDefault="00E94919" w:rsidP="00A704DF">
      <w:pPr>
        <w:pStyle w:val="BodyText"/>
        <w:spacing w:before="120" w:after="120"/>
        <w:ind w:left="709" w:hanging="709"/>
        <w:jc w:val="both"/>
      </w:pPr>
      <w:r>
        <w:t>D</w:t>
      </w:r>
      <w:r w:rsidR="00572874">
        <w:t>.10</w:t>
      </w:r>
      <w:r w:rsidR="00572874">
        <w:tab/>
      </w:r>
      <w:r w:rsidR="00572874" w:rsidRPr="00751710">
        <w:t xml:space="preserve">This report </w:t>
      </w:r>
      <w:r w:rsidR="00572874">
        <w:t xml:space="preserve">has been </w:t>
      </w:r>
      <w:r w:rsidR="00572874" w:rsidRPr="00751710">
        <w:t xml:space="preserve">prepared solely for Lancashire County Council. </w:t>
      </w:r>
      <w:r w:rsidR="00572874">
        <w:t xml:space="preserve">It forms part </w:t>
      </w:r>
      <w:r w:rsidR="00572874" w:rsidRPr="00751710">
        <w:t xml:space="preserve">of a continuing dialogue between </w:t>
      </w:r>
      <w:r w:rsidR="00572874">
        <w:t>the Internal Audit Service</w:t>
      </w:r>
      <w:r w:rsidR="00572874" w:rsidRPr="00751710">
        <w:t xml:space="preserve">, the </w:t>
      </w:r>
      <w:r w:rsidR="00572874">
        <w:t xml:space="preserve">chief executive, </w:t>
      </w:r>
      <w:r w:rsidR="00572874" w:rsidRPr="00751710">
        <w:t>Audit</w:t>
      </w:r>
      <w:r w:rsidR="00572874">
        <w:t>, Risk</w:t>
      </w:r>
      <w:r w:rsidR="00572874" w:rsidRPr="00751710">
        <w:t xml:space="preserve"> </w:t>
      </w:r>
      <w:r w:rsidR="00572874">
        <w:t xml:space="preserve">and Governance </w:t>
      </w:r>
      <w:r w:rsidR="00572874" w:rsidRPr="00751710">
        <w:t>Committee and management</w:t>
      </w:r>
      <w:r w:rsidR="00572874">
        <w:t xml:space="preserve"> of the council. It is not </w:t>
      </w:r>
      <w:r w:rsidR="00572874" w:rsidRPr="00751710">
        <w:t>there</w:t>
      </w:r>
      <w:r w:rsidR="00572874">
        <w:t>f</w:t>
      </w:r>
      <w:r w:rsidR="00572874" w:rsidRPr="00751710">
        <w:t>ore intended to include every matter that ca</w:t>
      </w:r>
      <w:r w:rsidR="00572874">
        <w:t xml:space="preserve">me to our attention during each </w:t>
      </w:r>
      <w:r w:rsidR="00572874" w:rsidRPr="00751710">
        <w:t xml:space="preserve">internal audit </w:t>
      </w:r>
      <w:r w:rsidR="00572874">
        <w:t>assignment</w:t>
      </w:r>
      <w:r w:rsidR="00572874" w:rsidRPr="00751710">
        <w:t>.</w:t>
      </w:r>
    </w:p>
    <w:p w:rsidR="00A66FF5" w:rsidRDefault="00E94919" w:rsidP="00A704DF">
      <w:pPr>
        <w:pStyle w:val="BodyText"/>
        <w:spacing w:before="120" w:after="120"/>
        <w:ind w:left="709" w:hanging="709"/>
        <w:jc w:val="both"/>
      </w:pPr>
      <w:r>
        <w:t>D</w:t>
      </w:r>
      <w:r w:rsidR="00572874">
        <w:t>.11</w:t>
      </w:r>
      <w:r w:rsidR="00572874">
        <w:tab/>
        <w:t>T</w:t>
      </w:r>
      <w:r w:rsidR="00572874" w:rsidRPr="00751710">
        <w:t>his report may be made available to other parties, such as the external auditors</w:t>
      </w:r>
      <w:r w:rsidR="00572874">
        <w:tab/>
        <w:t>and BT Lancashire Services Ltd</w:t>
      </w:r>
      <w:r w:rsidR="00572874" w:rsidRPr="00751710">
        <w:t xml:space="preserve">. </w:t>
      </w:r>
      <w:r w:rsidR="00572874">
        <w:t>However n</w:t>
      </w:r>
      <w:r w:rsidR="00572874" w:rsidRPr="00751710">
        <w:t xml:space="preserve">o responsibility </w:t>
      </w:r>
      <w:r w:rsidR="00572874">
        <w:t>is accepted to any</w:t>
      </w:r>
      <w:r w:rsidR="00572874">
        <w:tab/>
      </w:r>
      <w:r w:rsidR="00572874" w:rsidRPr="00751710">
        <w:t xml:space="preserve">third party who may receive this report for any reliance that may </w:t>
      </w:r>
      <w:r w:rsidR="00572874">
        <w:t xml:space="preserve">be </w:t>
      </w:r>
      <w:r w:rsidR="00572874" w:rsidRPr="00751710">
        <w:t>place</w:t>
      </w:r>
      <w:r w:rsidR="00572874">
        <w:t>d on it</w:t>
      </w:r>
      <w:r w:rsidR="00572874">
        <w:tab/>
      </w:r>
      <w:r w:rsidR="00572874" w:rsidRPr="00751710">
        <w:t xml:space="preserve">and, in particular, the external auditors </w:t>
      </w:r>
      <w:r w:rsidR="00572874">
        <w:t>must</w:t>
      </w:r>
      <w:r w:rsidR="00572874" w:rsidRPr="00751710">
        <w:t xml:space="preserve"> determine the </w:t>
      </w:r>
      <w:r w:rsidR="00ED5633">
        <w:t xml:space="preserve">reliance placed on the </w:t>
      </w:r>
      <w:r w:rsidR="00572874" w:rsidRPr="00751710">
        <w:t>work</w:t>
      </w:r>
      <w:r w:rsidR="00572874">
        <w:t xml:space="preserve"> of the Internal Audit Service.</w:t>
      </w:r>
    </w:p>
    <w:sectPr w:rsidR="00A66FF5" w:rsidSect="002111B4">
      <w:headerReference w:type="default" r:id="rId7"/>
      <w:pgSz w:w="11907" w:h="16840" w:code="9"/>
      <w:pgMar w:top="1134" w:right="1417" w:bottom="1077" w:left="1418" w:header="709" w:footer="5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8A" w:rsidRDefault="00572874">
      <w:pPr>
        <w:spacing w:before="0" w:after="0"/>
      </w:pPr>
      <w:r>
        <w:separator/>
      </w:r>
    </w:p>
  </w:endnote>
  <w:endnote w:type="continuationSeparator" w:id="0">
    <w:p w:rsidR="0010528A" w:rsidRDefault="00572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8A" w:rsidRDefault="00572874">
      <w:pPr>
        <w:spacing w:before="0" w:after="0"/>
      </w:pPr>
      <w:r>
        <w:separator/>
      </w:r>
    </w:p>
  </w:footnote>
  <w:footnote w:type="continuationSeparator" w:id="0">
    <w:p w:rsidR="0010528A" w:rsidRDefault="005728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CD" w:rsidRPr="00EC214C" w:rsidRDefault="00572874" w:rsidP="00EC214C">
    <w:pPr>
      <w:pStyle w:val="BodyText"/>
      <w:spacing w:before="240" w:after="120"/>
      <w:rPr>
        <w:b/>
      </w:rPr>
    </w:pPr>
    <w:r w:rsidRPr="00EC214C">
      <w:rPr>
        <w:b/>
      </w:rPr>
      <w:t>Scope, responsibilities and assurance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0"/>
    <w:rsid w:val="0010528A"/>
    <w:rsid w:val="001A1D65"/>
    <w:rsid w:val="002111B4"/>
    <w:rsid w:val="00433950"/>
    <w:rsid w:val="00572874"/>
    <w:rsid w:val="00623E18"/>
    <w:rsid w:val="00793FC9"/>
    <w:rsid w:val="00816164"/>
    <w:rsid w:val="009419AD"/>
    <w:rsid w:val="009E5D51"/>
    <w:rsid w:val="00A704DF"/>
    <w:rsid w:val="00E11350"/>
    <w:rsid w:val="00E94919"/>
    <w:rsid w:val="00ED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36617-6390-4658-9871-334D7F43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E5"/>
    <w:pPr>
      <w:spacing w:before="60" w:after="60" w:line="240" w:lineRule="auto"/>
    </w:pPr>
    <w:rPr>
      <w:rFonts w:ascii="Arial" w:eastAsia="Times New Roman" w:hAnsi="Arial" w:cs="Times New Roman"/>
      <w:sz w:val="24"/>
      <w:szCs w:val="24"/>
      <w:lang w:eastAsia="en-GB"/>
    </w:rPr>
  </w:style>
  <w:style w:type="paragraph" w:styleId="Heading3">
    <w:name w:val="heading 3"/>
    <w:basedOn w:val="Normal"/>
    <w:next w:val="BodyText"/>
    <w:link w:val="Heading3Char"/>
    <w:uiPriority w:val="99"/>
    <w:qFormat/>
    <w:rsid w:val="009137E5"/>
    <w:pPr>
      <w:keepNext/>
      <w:spacing w:before="24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137E5"/>
    <w:rPr>
      <w:rFonts w:ascii="Cambria" w:eastAsia="Times New Roman" w:hAnsi="Cambria" w:cs="Times New Roman"/>
      <w:b/>
      <w:bCs/>
      <w:sz w:val="26"/>
      <w:szCs w:val="26"/>
      <w:lang w:eastAsia="en-GB"/>
    </w:rPr>
  </w:style>
  <w:style w:type="paragraph" w:styleId="BodyText">
    <w:name w:val="Body Text"/>
    <w:basedOn w:val="Normal"/>
    <w:link w:val="BodyTextChar"/>
    <w:uiPriority w:val="99"/>
    <w:rsid w:val="009137E5"/>
    <w:pPr>
      <w:spacing w:after="260"/>
    </w:pPr>
  </w:style>
  <w:style w:type="character" w:customStyle="1" w:styleId="BodyTextChar">
    <w:name w:val="Body Text Char"/>
    <w:basedOn w:val="DefaultParagraphFont"/>
    <w:link w:val="BodyText"/>
    <w:uiPriority w:val="99"/>
    <w:rsid w:val="009137E5"/>
    <w:rPr>
      <w:rFonts w:ascii="Arial" w:eastAsia="Times New Roman" w:hAnsi="Arial" w:cs="Times New Roman"/>
      <w:sz w:val="24"/>
      <w:szCs w:val="24"/>
      <w:lang w:eastAsia="en-GB"/>
    </w:rPr>
  </w:style>
  <w:style w:type="paragraph" w:styleId="Header">
    <w:name w:val="header"/>
    <w:basedOn w:val="Normal"/>
    <w:link w:val="HeaderChar"/>
    <w:uiPriority w:val="99"/>
    <w:rsid w:val="009137E5"/>
    <w:pPr>
      <w:tabs>
        <w:tab w:val="center" w:pos="4153"/>
        <w:tab w:val="right" w:pos="8306"/>
      </w:tabs>
    </w:pPr>
  </w:style>
  <w:style w:type="character" w:customStyle="1" w:styleId="HeaderChar">
    <w:name w:val="Header Char"/>
    <w:basedOn w:val="DefaultParagraphFont"/>
    <w:link w:val="Header"/>
    <w:uiPriority w:val="99"/>
    <w:rsid w:val="009137E5"/>
    <w:rPr>
      <w:rFonts w:ascii="Arial" w:eastAsia="Times New Roman" w:hAnsi="Arial" w:cs="Times New Roman"/>
      <w:sz w:val="24"/>
      <w:szCs w:val="24"/>
      <w:lang w:eastAsia="en-GB"/>
    </w:rPr>
  </w:style>
  <w:style w:type="paragraph" w:styleId="Footer">
    <w:name w:val="footer"/>
    <w:basedOn w:val="Normal"/>
    <w:link w:val="FooterChar"/>
    <w:uiPriority w:val="99"/>
    <w:rsid w:val="009137E5"/>
    <w:pPr>
      <w:tabs>
        <w:tab w:val="center" w:pos="4153"/>
        <w:tab w:val="right" w:pos="8306"/>
      </w:tabs>
    </w:pPr>
  </w:style>
  <w:style w:type="character" w:customStyle="1" w:styleId="FooterChar">
    <w:name w:val="Footer Char"/>
    <w:basedOn w:val="DefaultParagraphFont"/>
    <w:link w:val="Footer"/>
    <w:uiPriority w:val="99"/>
    <w:rsid w:val="009137E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10</cp:revision>
  <dcterms:created xsi:type="dcterms:W3CDTF">2020-04-01T08:28:00Z</dcterms:created>
  <dcterms:modified xsi:type="dcterms:W3CDTF">2020-07-17T13:32:00Z</dcterms:modified>
</cp:coreProperties>
</file>